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54" w:rsidRDefault="00307F54" w:rsidP="00307F54">
      <w:pPr>
        <w:pStyle w:val="Heading2"/>
        <w:ind w:left="720"/>
        <w:rPr>
          <w:rFonts w:cs="Times New Roman"/>
          <w:szCs w:val="26"/>
        </w:rPr>
      </w:pPr>
      <w:r>
        <w:rPr>
          <w:rFonts w:cs="Times New Roman"/>
          <w:sz w:val="24"/>
          <w:szCs w:val="24"/>
        </w:rPr>
        <w:t>TỔ CHỨC THƯƠNG MẠI CÔNG BẰNG THẾ GIỚI</w:t>
      </w:r>
      <w:r>
        <w:rPr>
          <w:rFonts w:cs="Times New Roman"/>
          <w:szCs w:val="26"/>
        </w:rPr>
        <w:t xml:space="preserve"> (A. World Fair Trade Organization </w:t>
      </w:r>
      <w:r>
        <w:rPr>
          <w:rFonts w:cs="Times New Roman"/>
          <w:sz w:val="24"/>
          <w:szCs w:val="24"/>
        </w:rPr>
        <w:t>-WFTO</w:t>
      </w:r>
      <w:r>
        <w:rPr>
          <w:rFonts w:cs="Times New Roman"/>
          <w:szCs w:val="26"/>
        </w:rPr>
        <w:t>)</w:t>
      </w:r>
    </w:p>
    <w:p w:rsidR="00307F54" w:rsidRDefault="00307F54" w:rsidP="00307F54">
      <w:pPr>
        <w:spacing w:before="120" w:after="120" w:line="312" w:lineRule="auto"/>
        <w:ind w:firstLine="567"/>
        <w:jc w:val="both"/>
        <w:rPr>
          <w:i/>
          <w:kern w:val="28"/>
          <w:sz w:val="26"/>
          <w:szCs w:val="26"/>
        </w:rPr>
      </w:pPr>
      <w:r>
        <w:rPr>
          <w:kern w:val="28"/>
          <w:sz w:val="26"/>
          <w:szCs w:val="26"/>
        </w:rPr>
        <w:t>Được thành lập năm 1989</w:t>
      </w:r>
      <w:r>
        <w:rPr>
          <w:kern w:val="28"/>
          <w:sz w:val="26"/>
          <w:szCs w:val="26"/>
          <w:lang w:val="vi-VN"/>
        </w:rPr>
        <w:t xml:space="preserve"> và </w:t>
      </w:r>
      <w:r>
        <w:rPr>
          <w:kern w:val="28"/>
          <w:sz w:val="26"/>
          <w:szCs w:val="26"/>
        </w:rPr>
        <w:t>là một mạng lưới toàn cầu tụ hợp hơn 400 thành viên từ trên 70 quốc gia châu Á, châu Âu, châu Phi, Mỹ La Tinh, Bắc Mỹ và vành đai Thái Bình Dương. Thành viên của tổ chức này bao gồm hơn 330 doanh nghiệp thương mại công bằng và một hệ thống gồm hơn 70 tổ chức và mạng lưới hỗ trợ các doanh nghiệp. Năm 2004, WFTO đã đưa ra một chương trình và nhãn hiệu chứng nhận thương mại công bằng</w:t>
      </w:r>
      <w:r>
        <w:rPr>
          <w:kern w:val="28"/>
          <w:sz w:val="26"/>
          <w:szCs w:val="26"/>
          <w:lang w:val="vi-VN"/>
        </w:rPr>
        <w:t xml:space="preserve"> (dấu FTO). Dấu FTO được cấp cho các thành viên đáp ứng yêu cầu và tiêu chuẩn của WFTO để được công nhận là Tổ chức thương mại công. Do đó, dấu FTO không phải là nhãn sản phẩm mà là nhãn cho tổ chức để minh chứng rằng các tiêu chuẩn về điều kiện làm việc, tiền lương, lao động trẻ em và môi trường đang được thực hiện. Các tiêu chuẩn này được kiểm định bằng cách tự đánh giá, đánh giá lẫn nhau và xác minh bên ngoài.</w:t>
      </w:r>
    </w:p>
    <w:p w:rsidR="00307F54" w:rsidRDefault="00307F54" w:rsidP="00307F54">
      <w:pPr>
        <w:spacing w:before="120" w:after="120" w:line="312" w:lineRule="auto"/>
        <w:ind w:firstLine="567"/>
        <w:jc w:val="both"/>
        <w:rPr>
          <w:kern w:val="28"/>
          <w:sz w:val="26"/>
          <w:szCs w:val="26"/>
          <w:lang w:val="vi-VN"/>
        </w:rPr>
      </w:pPr>
      <w:r>
        <w:rPr>
          <w:kern w:val="28"/>
          <w:sz w:val="26"/>
          <w:szCs w:val="26"/>
          <w:lang w:val="vi-VN"/>
        </w:rPr>
        <w:t xml:space="preserve">Sứ mệnh của WFTO là cải thiện sinh kế và phúc lợi cho những nhà sản xuất yếu thế bằng cách liên kết và thúc đẩy các tổ chức thương mại công bằng, đồng thời lên tiếng cho một nền thương mại toàn cầu công bằng hơn. </w:t>
      </w:r>
    </w:p>
    <w:p w:rsidR="00307F54" w:rsidRDefault="00307F54" w:rsidP="00307F54">
      <w:pPr>
        <w:spacing w:before="120" w:after="120" w:line="312" w:lineRule="auto"/>
        <w:ind w:firstLine="567"/>
        <w:jc w:val="both"/>
        <w:rPr>
          <w:kern w:val="28"/>
          <w:sz w:val="26"/>
          <w:szCs w:val="26"/>
          <w:lang w:val="vi-VN"/>
        </w:rPr>
      </w:pPr>
      <w:r>
        <w:rPr>
          <w:kern w:val="28"/>
          <w:sz w:val="26"/>
          <w:szCs w:val="26"/>
          <w:lang w:val="vi-VN"/>
        </w:rPr>
        <w:t xml:space="preserve">WFTO hoạt động theo mười nguyên tắc, đó là: </w:t>
      </w:r>
      <w:r>
        <w:rPr>
          <w:i/>
          <w:kern w:val="28"/>
          <w:sz w:val="26"/>
          <w:szCs w:val="26"/>
          <w:lang w:val="vi-VN"/>
        </w:rPr>
        <w:t>Tạo cơ hội cho những người sản xuất nhỏ yếu thế:</w:t>
      </w:r>
      <w:r>
        <w:rPr>
          <w:kern w:val="28"/>
          <w:sz w:val="26"/>
          <w:szCs w:val="26"/>
          <w:lang w:val="vi-VN"/>
        </w:rPr>
        <w:t xml:space="preserve"> Hỗ trợ những người sản xuất nhỏ, yếu thế trong tổ chức của mình, dù là cơ sở kinh doanh quy mô gia đình, các hiệp hội hay các HTX và tìm cách giúp họ thoát khỏi cảnh thu nhập bấp bênh, đói nghèo sang tự chủ về mặt kinh tế và xã hội</w:t>
      </w:r>
      <w:r>
        <w:rPr>
          <w:kern w:val="28"/>
          <w:sz w:val="26"/>
          <w:szCs w:val="26"/>
        </w:rPr>
        <w:t xml:space="preserve">; </w:t>
      </w:r>
      <w:r>
        <w:rPr>
          <w:i/>
          <w:kern w:val="28"/>
          <w:sz w:val="26"/>
          <w:szCs w:val="26"/>
          <w:lang w:val="vi-VN"/>
        </w:rPr>
        <w:t>Minh bạch và giải trình:</w:t>
      </w:r>
      <w:r>
        <w:rPr>
          <w:kern w:val="28"/>
          <w:sz w:val="26"/>
          <w:szCs w:val="26"/>
          <w:lang w:val="vi-VN"/>
        </w:rPr>
        <w:t xml:space="preserve"> Minh bạch trong quản lý và các mối quan hệ thương mại; Công khai cho tất cả các bên liên quan; Các thành viên, người lao động cùng tham gia quyết định; Các kênh thông tin đảm bảo và mở tại tất cả các cấp độ trong chuỗi cung ứng</w:t>
      </w:r>
      <w:r>
        <w:rPr>
          <w:kern w:val="28"/>
          <w:sz w:val="26"/>
          <w:szCs w:val="26"/>
        </w:rPr>
        <w:t xml:space="preserve">; </w:t>
      </w:r>
      <w:r>
        <w:rPr>
          <w:i/>
          <w:kern w:val="28"/>
          <w:sz w:val="26"/>
          <w:szCs w:val="26"/>
          <w:lang w:val="vi-VN"/>
        </w:rPr>
        <w:t>Thực hành Thương mại công bằng</w:t>
      </w:r>
      <w:r>
        <w:rPr>
          <w:kern w:val="28"/>
          <w:sz w:val="26"/>
          <w:szCs w:val="26"/>
          <w:lang w:val="vi-VN"/>
        </w:rPr>
        <w:t>: Quan tâm đến lợi ích của người sản xuất nhỏ yếu thế và không đặt mục tiêu tối đa hóa lợi nhuận; Đảm bảo thực hiện các cam kết kịp thời; Tạm ứng ít nhất 50% giá trị khi được yêu cầu; Duy trì mối quan hệ lâu dài; Hợp tác với các tổ chức thương mại công bằng khác trong nước; Nhận diện, thúc đẩy và bảo vệ bản sắc văn hóa và các kỹ năng truyền thống</w:t>
      </w:r>
      <w:r>
        <w:rPr>
          <w:kern w:val="28"/>
          <w:sz w:val="26"/>
          <w:szCs w:val="26"/>
        </w:rPr>
        <w:t xml:space="preserve">; </w:t>
      </w:r>
      <w:r>
        <w:rPr>
          <w:i/>
          <w:kern w:val="28"/>
          <w:sz w:val="26"/>
          <w:szCs w:val="26"/>
          <w:lang w:val="vi-VN"/>
        </w:rPr>
        <w:t>Trả mức giá công bằng</w:t>
      </w:r>
      <w:r>
        <w:rPr>
          <w:kern w:val="28"/>
          <w:sz w:val="26"/>
          <w:szCs w:val="26"/>
          <w:lang w:val="vi-VN"/>
        </w:rPr>
        <w:t>: Đồng thuận thông qua đối thoại và tham gia; Đưa ra mức lương thích đáng; Tổ chức hỗ trợ xây dựng năng lực theo yêu cầu của người sản xuất để họ có khả năng thiết lập một mức giá công bằng</w:t>
      </w:r>
      <w:r>
        <w:rPr>
          <w:kern w:val="28"/>
          <w:sz w:val="26"/>
          <w:szCs w:val="26"/>
        </w:rPr>
        <w:t xml:space="preserve">; </w:t>
      </w:r>
      <w:r>
        <w:rPr>
          <w:i/>
          <w:kern w:val="28"/>
          <w:sz w:val="26"/>
          <w:szCs w:val="26"/>
          <w:lang w:val="vi-VN"/>
        </w:rPr>
        <w:t>Không sử dụng lao động trẻ em và lao động cưỡng bức</w:t>
      </w:r>
      <w:r>
        <w:rPr>
          <w:kern w:val="28"/>
          <w:sz w:val="26"/>
          <w:szCs w:val="26"/>
          <w:lang w:val="vi-VN"/>
        </w:rPr>
        <w:t>: Tôn trọng Công ước Liên Hợp Quốc về quyền trẻ em; đảm bảo rằng không có lao động cưỡng bức trong lực lượng lao động</w:t>
      </w:r>
      <w:r>
        <w:rPr>
          <w:kern w:val="28"/>
          <w:sz w:val="26"/>
          <w:szCs w:val="26"/>
        </w:rPr>
        <w:t xml:space="preserve">; </w:t>
      </w:r>
      <w:r>
        <w:rPr>
          <w:i/>
          <w:kern w:val="28"/>
          <w:sz w:val="26"/>
          <w:szCs w:val="26"/>
          <w:lang w:val="vi-VN"/>
        </w:rPr>
        <w:t>Không phân biệt đối xử, đảm bảo bình đẳng giới và tự do hiệp hội</w:t>
      </w:r>
      <w:r>
        <w:rPr>
          <w:kern w:val="28"/>
          <w:sz w:val="26"/>
          <w:szCs w:val="26"/>
          <w:lang w:val="vi-VN"/>
        </w:rPr>
        <w:t xml:space="preserve">: Không phân biệt đối xử trong tuyển dụng, trả lương, tiếp </w:t>
      </w:r>
      <w:r>
        <w:rPr>
          <w:kern w:val="28"/>
          <w:sz w:val="26"/>
          <w:szCs w:val="26"/>
          <w:lang w:val="vi-VN"/>
        </w:rPr>
        <w:lastRenderedPageBreak/>
        <w:t>cận đào tạo, chế độ thăng tiến, kết thúc hợp đồng hay nghỉ hưu; Có chính sách và kế hoạch rõ ràng để thúc đẩy bình đẳng giới; Trả lương công bằng cho công việc như nhau; Tôn trọng quyền của tất cả người lao động trong việc thành lập và tham gia các tổ chức công đoàn theo lựa chọn của họ và quyền thương lượng tập thể</w:t>
      </w:r>
      <w:r>
        <w:rPr>
          <w:kern w:val="28"/>
          <w:sz w:val="26"/>
          <w:szCs w:val="26"/>
        </w:rPr>
        <w:t xml:space="preserve">; </w:t>
      </w:r>
      <w:r>
        <w:rPr>
          <w:i/>
          <w:kern w:val="28"/>
          <w:sz w:val="26"/>
          <w:szCs w:val="26"/>
          <w:lang w:val="vi-VN"/>
        </w:rPr>
        <w:t>Đảm bảo điều kiện làm việc tốt</w:t>
      </w:r>
      <w:r>
        <w:rPr>
          <w:kern w:val="28"/>
          <w:sz w:val="26"/>
          <w:szCs w:val="26"/>
          <w:lang w:val="vi-VN"/>
        </w:rPr>
        <w:t>: Đảm bảo môi trường làm việc an toàn và vệ sinh cho người lao động/hoặc các thành viên; Tuân thủ giờ làm việc theo các quy định của luật quốc gia và địa phương và các công ước của Tổ chức Lao động Quốc tế (ILO); Nâng cao nhận thức về an toàn và vệ sinh và cải thiện an toàn vệ sinh trong các nhóm sản xuất</w:t>
      </w:r>
      <w:r>
        <w:rPr>
          <w:kern w:val="28"/>
          <w:sz w:val="26"/>
          <w:szCs w:val="26"/>
        </w:rPr>
        <w:t xml:space="preserve">; </w:t>
      </w:r>
      <w:r>
        <w:rPr>
          <w:i/>
          <w:kern w:val="28"/>
          <w:sz w:val="26"/>
          <w:szCs w:val="26"/>
          <w:lang w:val="vi-VN"/>
        </w:rPr>
        <w:t>Xây dựng năng lực</w:t>
      </w:r>
      <w:r>
        <w:rPr>
          <w:kern w:val="28"/>
          <w:sz w:val="26"/>
          <w:szCs w:val="26"/>
          <w:lang w:val="vi-VN"/>
        </w:rPr>
        <w:t>: Xây dựng kỹ năng và xây dựng năng lực của đội ngũ lao động và thành viên của tổ chức; Hỗ trợ, xây dựng năng lực những nhóm sản xuất yếu thế</w:t>
      </w:r>
      <w:r>
        <w:rPr>
          <w:kern w:val="28"/>
          <w:sz w:val="26"/>
          <w:szCs w:val="26"/>
        </w:rPr>
        <w:t xml:space="preserve">; </w:t>
      </w:r>
      <w:r>
        <w:rPr>
          <w:i/>
          <w:kern w:val="28"/>
          <w:sz w:val="26"/>
          <w:szCs w:val="26"/>
          <w:lang w:val="vi-VN"/>
        </w:rPr>
        <w:t xml:space="preserve">Đảm bảo đạo đức công bằng trong thươngmại: </w:t>
      </w:r>
      <w:r>
        <w:rPr>
          <w:kern w:val="28"/>
          <w:sz w:val="26"/>
          <w:szCs w:val="26"/>
          <w:lang w:val="vi-VN"/>
        </w:rPr>
        <w:t>Cung cấp cho khách hàng các thông tin về tổ chức, sản phẩm và các tổ chức sản xuất hoặc thành viên sản xuất/thu hoạch sản phẩm; Thực hành quảng cáo và bán hàng trung thực có đạo đức</w:t>
      </w:r>
      <w:r>
        <w:rPr>
          <w:kern w:val="28"/>
          <w:sz w:val="26"/>
          <w:szCs w:val="26"/>
        </w:rPr>
        <w:t xml:space="preserve">; </w:t>
      </w:r>
      <w:r>
        <w:rPr>
          <w:i/>
          <w:kern w:val="28"/>
          <w:sz w:val="26"/>
          <w:szCs w:val="26"/>
          <w:lang w:val="vi-VN"/>
        </w:rPr>
        <w:t>Bảo vệ môi trường</w:t>
      </w:r>
      <w:r>
        <w:rPr>
          <w:kern w:val="28"/>
          <w:sz w:val="26"/>
          <w:szCs w:val="26"/>
          <w:lang w:val="vi-VN"/>
        </w:rPr>
        <w:t>: Sử dụng tối đa nguyên liệu từ các nguồn được quản lý bền vững; Giảm thiểu tiêu thụ năng lượng và khi có thể nên sử dụng các công nghệ dùng năng lượng tái chế; Giảm thiểu tối đa tác động của nước thải lên môi trường; Sử dụng nguyên liệu tự tái chế và nguyên liệu dễ phân hủy để đóng gói.</w:t>
      </w:r>
    </w:p>
    <w:p w:rsidR="00307F54" w:rsidRDefault="00307F54" w:rsidP="00307F54">
      <w:pPr>
        <w:spacing w:before="120" w:after="120" w:line="312" w:lineRule="auto"/>
        <w:ind w:firstLine="567"/>
        <w:jc w:val="both"/>
        <w:rPr>
          <w:kern w:val="28"/>
          <w:sz w:val="26"/>
          <w:szCs w:val="26"/>
          <w:lang w:val="vi-VN"/>
        </w:rPr>
      </w:pPr>
      <w:r>
        <w:rPr>
          <w:kern w:val="28"/>
          <w:sz w:val="26"/>
          <w:szCs w:val="26"/>
          <w:lang w:val="vi-VN"/>
        </w:rPr>
        <w:t>Các lĩnh vực hoạt động chủ yếu của WFTO gồm: (1) Hoạt động cho nền kinh tế toàn cầu bền vững và công bằng; (2) Cấp chứng nhận thành viên và giám sát sự tuân thủ các tiêu chuẩn của WFTO; (3) Thiết lập ra các tiêu chuẩn thương mại công bằng cho các tổ chức; (4) Lên tiếng cho thương mại công bằng; (5) Hỗ trợ thành viên tiếp cận thị trường trong nước, trong khu vực và quốc tế và (6) Tổ chức mạng lưới thương mại toàn cầu.</w:t>
      </w:r>
    </w:p>
    <w:p w:rsidR="00307F54" w:rsidRDefault="00307F54" w:rsidP="00307F54">
      <w:pPr>
        <w:spacing w:before="120" w:after="120" w:line="312" w:lineRule="auto"/>
        <w:ind w:firstLine="567"/>
        <w:jc w:val="both"/>
        <w:rPr>
          <w:kern w:val="28"/>
          <w:sz w:val="26"/>
          <w:szCs w:val="26"/>
        </w:rPr>
      </w:pPr>
      <w:r>
        <w:rPr>
          <w:kern w:val="28"/>
          <w:sz w:val="26"/>
          <w:szCs w:val="26"/>
          <w:lang w:val="vi-VN"/>
        </w:rPr>
        <w:t>Việt Nam hoạt động ở WFTO châu Á - gồm có 18 quốc gia với hơn 151 tổ chức thương mại công bằng. Hiện nay, Việt Nam có 7 công ty và tổ chức là thành viên hoặc thành viên tạm thời của WFTO gồm: (1) Craft Link – Thành viên tạm thời; (2) Craftbeauty Workshop – Thành viên tạm thời; (3) Công ty TNHH thương mại giày da Giang Phạm – Thành viên tạm thời; (4) Công ty TNHH Mây tre Hà Linh – Thành viên tạm thời; (5) Công ty TNHH Hàng thủ công Việt Nam Mai – Thành viên tạm thời; (6) Công ty TNHH Paper Art Việt – Thành viên tạm thời; (7) Viện nghiên cứu và phát triển ngành nghề nông thôn Việt Nam – Thành viên.</w:t>
      </w:r>
    </w:p>
    <w:p w:rsidR="00307F54" w:rsidRDefault="00307F54" w:rsidP="00307F54">
      <w:pPr>
        <w:spacing w:before="120" w:after="120" w:line="312" w:lineRule="auto"/>
        <w:ind w:firstLine="567"/>
        <w:jc w:val="right"/>
        <w:rPr>
          <w:b/>
          <w:sz w:val="24"/>
        </w:rPr>
      </w:pPr>
      <w:r>
        <w:rPr>
          <w:b/>
          <w:sz w:val="24"/>
          <w:lang w:val="vi-VN"/>
        </w:rPr>
        <w:t>NGUYỄN ANH THU</w:t>
      </w:r>
      <w:r>
        <w:rPr>
          <w:b/>
          <w:sz w:val="24"/>
        </w:rPr>
        <w:t xml:space="preserve">, </w:t>
      </w:r>
      <w:r>
        <w:rPr>
          <w:b/>
          <w:sz w:val="24"/>
          <w:lang w:val="vi-VN"/>
        </w:rPr>
        <w:t>NGUYỄ</w:t>
      </w:r>
      <w:r>
        <w:rPr>
          <w:b/>
          <w:sz w:val="24"/>
        </w:rPr>
        <w:t>N</w:t>
      </w:r>
      <w:r>
        <w:rPr>
          <w:b/>
          <w:sz w:val="24"/>
          <w:lang w:val="vi-VN"/>
        </w:rPr>
        <w:t xml:space="preserve"> THỊ THANH MAI</w:t>
      </w:r>
    </w:p>
    <w:p w:rsidR="00307F54" w:rsidRPr="00307F54" w:rsidRDefault="00307F54" w:rsidP="00307F54">
      <w:pPr>
        <w:spacing w:before="120" w:after="120" w:line="312" w:lineRule="auto"/>
        <w:ind w:firstLine="567"/>
        <w:rPr>
          <w:b/>
          <w:sz w:val="24"/>
        </w:rPr>
      </w:pPr>
      <w:bookmarkStart w:id="0" w:name="_GoBack"/>
      <w:bookmarkEnd w:id="0"/>
      <w:r>
        <w:rPr>
          <w:b/>
          <w:kern w:val="28"/>
          <w:sz w:val="26"/>
          <w:szCs w:val="26"/>
        </w:rPr>
        <w:t>Tài liệu tham khả</w:t>
      </w:r>
      <w:r>
        <w:rPr>
          <w:b/>
          <w:kern w:val="28"/>
          <w:sz w:val="26"/>
          <w:szCs w:val="26"/>
          <w:lang w:val="vi-VN"/>
        </w:rPr>
        <w:t>o</w:t>
      </w:r>
      <w:r>
        <w:rPr>
          <w:b/>
          <w:kern w:val="28"/>
          <w:sz w:val="26"/>
          <w:szCs w:val="26"/>
        </w:rPr>
        <w:t>:</w:t>
      </w:r>
    </w:p>
    <w:p w:rsidR="00307F54" w:rsidRDefault="00307F54" w:rsidP="00307F54">
      <w:pPr>
        <w:numPr>
          <w:ilvl w:val="0"/>
          <w:numId w:val="1"/>
        </w:numPr>
        <w:spacing w:before="120" w:after="120" w:line="312" w:lineRule="auto"/>
        <w:ind w:left="567" w:firstLine="0"/>
        <w:jc w:val="both"/>
        <w:rPr>
          <w:sz w:val="26"/>
          <w:szCs w:val="26"/>
          <w:shd w:val="clear" w:color="auto" w:fill="FFFFFF"/>
        </w:rPr>
      </w:pPr>
      <w:r>
        <w:rPr>
          <w:sz w:val="26"/>
          <w:szCs w:val="26"/>
          <w:shd w:val="clear" w:color="auto" w:fill="FFFFFF"/>
        </w:rPr>
        <w:lastRenderedPageBreak/>
        <w:t>Dragusanu, R., Giovannucci, D. and Nunn, N., 2014. The economics of fair trade. </w:t>
      </w:r>
      <w:r>
        <w:rPr>
          <w:i/>
          <w:iCs/>
          <w:sz w:val="26"/>
          <w:szCs w:val="26"/>
          <w:shd w:val="clear" w:color="auto" w:fill="FFFFFF"/>
        </w:rPr>
        <w:t>Journal of economic perspectives</w:t>
      </w:r>
      <w:r>
        <w:rPr>
          <w:sz w:val="26"/>
          <w:szCs w:val="26"/>
          <w:shd w:val="clear" w:color="auto" w:fill="FFFFFF"/>
        </w:rPr>
        <w:t>, </w:t>
      </w:r>
      <w:r>
        <w:rPr>
          <w:i/>
          <w:iCs/>
          <w:sz w:val="26"/>
          <w:szCs w:val="26"/>
          <w:shd w:val="clear" w:color="auto" w:fill="FFFFFF"/>
        </w:rPr>
        <w:t>28</w:t>
      </w:r>
      <w:r>
        <w:rPr>
          <w:sz w:val="26"/>
          <w:szCs w:val="26"/>
          <w:shd w:val="clear" w:color="auto" w:fill="FFFFFF"/>
        </w:rPr>
        <w:t>(3), pp.217-36.</w:t>
      </w:r>
    </w:p>
    <w:p w:rsidR="00307F54" w:rsidRDefault="00307F54" w:rsidP="00307F54">
      <w:pPr>
        <w:numPr>
          <w:ilvl w:val="0"/>
          <w:numId w:val="1"/>
        </w:numPr>
        <w:spacing w:before="120" w:after="120" w:line="312" w:lineRule="auto"/>
        <w:ind w:left="567" w:firstLine="0"/>
        <w:jc w:val="both"/>
        <w:rPr>
          <w:sz w:val="26"/>
          <w:szCs w:val="26"/>
        </w:rPr>
      </w:pPr>
      <w:r>
        <w:rPr>
          <w:sz w:val="26"/>
          <w:szCs w:val="26"/>
        </w:rPr>
        <w:t xml:space="preserve">ISFW (2019), </w:t>
      </w:r>
      <w:r>
        <w:rPr>
          <w:bCs/>
          <w:sz w:val="26"/>
          <w:szCs w:val="26"/>
        </w:rPr>
        <w:t>Chính sách cho các hiệp định thương mại thế giới công bằng, công bằng và bền vững,</w:t>
      </w:r>
      <w:r>
        <w:rPr>
          <w:b/>
          <w:bCs/>
          <w:sz w:val="26"/>
          <w:szCs w:val="26"/>
        </w:rPr>
        <w:t xml:space="preserve"> </w:t>
      </w:r>
      <w:r>
        <w:rPr>
          <w:sz w:val="26"/>
          <w:szCs w:val="26"/>
          <w:shd w:val="clear" w:color="auto" w:fill="FFFFFF"/>
        </w:rPr>
        <w:t>[T</w:t>
      </w:r>
      <w:r>
        <w:rPr>
          <w:sz w:val="26"/>
          <w:szCs w:val="26"/>
          <w:shd w:val="clear" w:color="auto" w:fill="FFFFFF"/>
          <w:lang w:val="vi-VN"/>
        </w:rPr>
        <w:t>rực tuyến], Link:</w:t>
      </w:r>
      <w:r>
        <w:rPr>
          <w:sz w:val="26"/>
          <w:szCs w:val="26"/>
        </w:rPr>
        <w:t xml:space="preserve"> </w:t>
      </w:r>
      <w:hyperlink r:id="rId5" w:history="1">
        <w:r>
          <w:rPr>
            <w:sz w:val="26"/>
            <w:szCs w:val="26"/>
            <w:u w:val="single"/>
          </w:rPr>
          <w:t>https://www.ifsw.org/vi/ifsw-policy-for-socially-just-fair-and-sustainable-world-trade-agreements/?hub=main</w:t>
        </w:r>
      </w:hyperlink>
      <w:r>
        <w:rPr>
          <w:sz w:val="26"/>
          <w:szCs w:val="26"/>
        </w:rPr>
        <w:t>, Truy cập ngày 20 tháng 01 năm 2019</w:t>
      </w:r>
    </w:p>
    <w:p w:rsidR="00307F54" w:rsidRDefault="00307F54" w:rsidP="00307F54">
      <w:pPr>
        <w:numPr>
          <w:ilvl w:val="0"/>
          <w:numId w:val="1"/>
        </w:numPr>
        <w:spacing w:before="120" w:after="120" w:line="312" w:lineRule="auto"/>
        <w:ind w:left="567" w:firstLine="0"/>
        <w:jc w:val="both"/>
        <w:rPr>
          <w:sz w:val="26"/>
          <w:szCs w:val="26"/>
        </w:rPr>
      </w:pPr>
      <w:r>
        <w:rPr>
          <w:sz w:val="26"/>
          <w:szCs w:val="26"/>
          <w:shd w:val="clear" w:color="auto" w:fill="FFFFFF"/>
        </w:rPr>
        <w:t>Raynolds, L.T. and Bennett, E.A. eds., 2015. </w:t>
      </w:r>
      <w:r>
        <w:rPr>
          <w:i/>
          <w:iCs/>
          <w:sz w:val="26"/>
          <w:szCs w:val="26"/>
          <w:shd w:val="clear" w:color="auto" w:fill="FFFFFF"/>
        </w:rPr>
        <w:t>Handbook of Research on Fair Trade</w:t>
      </w:r>
      <w:r>
        <w:rPr>
          <w:sz w:val="26"/>
          <w:szCs w:val="26"/>
          <w:shd w:val="clear" w:color="auto" w:fill="FFFFFF"/>
        </w:rPr>
        <w:t>. Edward Elgar Publishing.</w:t>
      </w:r>
    </w:p>
    <w:p w:rsidR="00307F54" w:rsidRDefault="00307F54" w:rsidP="00307F54">
      <w:pPr>
        <w:numPr>
          <w:ilvl w:val="0"/>
          <w:numId w:val="1"/>
        </w:numPr>
        <w:spacing w:before="120" w:after="120" w:line="312" w:lineRule="auto"/>
        <w:ind w:left="567" w:firstLine="0"/>
        <w:jc w:val="both"/>
        <w:rPr>
          <w:sz w:val="26"/>
          <w:szCs w:val="26"/>
        </w:rPr>
      </w:pPr>
      <w:r>
        <w:rPr>
          <w:sz w:val="26"/>
          <w:szCs w:val="26"/>
          <w:shd w:val="clear" w:color="auto" w:fill="FFFFFF"/>
        </w:rPr>
        <w:t>Raynolds, L.T., Murray, D. and Wilkinson, J. eds., 2007. </w:t>
      </w:r>
      <w:r>
        <w:rPr>
          <w:i/>
          <w:iCs/>
          <w:sz w:val="26"/>
          <w:szCs w:val="26"/>
          <w:shd w:val="clear" w:color="auto" w:fill="FFFFFF"/>
        </w:rPr>
        <w:t>Fair trade: The challenges of transforming globalization</w:t>
      </w:r>
      <w:r>
        <w:rPr>
          <w:sz w:val="26"/>
          <w:szCs w:val="26"/>
          <w:shd w:val="clear" w:color="auto" w:fill="FFFFFF"/>
        </w:rPr>
        <w:t>. Routledge.</w:t>
      </w:r>
    </w:p>
    <w:p w:rsidR="00307F54" w:rsidRDefault="00307F54" w:rsidP="00307F54">
      <w:pPr>
        <w:numPr>
          <w:ilvl w:val="0"/>
          <w:numId w:val="1"/>
        </w:numPr>
        <w:spacing w:before="120" w:after="120" w:line="312" w:lineRule="auto"/>
        <w:ind w:left="567" w:firstLine="0"/>
        <w:jc w:val="both"/>
        <w:rPr>
          <w:sz w:val="26"/>
          <w:szCs w:val="26"/>
        </w:rPr>
      </w:pPr>
      <w:r>
        <w:rPr>
          <w:sz w:val="26"/>
          <w:szCs w:val="26"/>
          <w:shd w:val="clear" w:color="auto" w:fill="FFFFFF"/>
        </w:rPr>
        <w:t>WFTO (2019), History of Fair Trade, [T</w:t>
      </w:r>
      <w:r>
        <w:rPr>
          <w:sz w:val="26"/>
          <w:szCs w:val="26"/>
          <w:shd w:val="clear" w:color="auto" w:fill="FFFFFF"/>
          <w:lang w:val="vi-VN"/>
        </w:rPr>
        <w:t xml:space="preserve">rực tuyến], Link: </w:t>
      </w:r>
      <w:hyperlink r:id="rId6" w:history="1">
        <w:r>
          <w:rPr>
            <w:rStyle w:val="Hyperlink"/>
            <w:sz w:val="26"/>
            <w:szCs w:val="26"/>
          </w:rPr>
          <w:t>https://wfto.com/about-us/history-wfto/history-fair-trade</w:t>
        </w:r>
      </w:hyperlink>
      <w:r>
        <w:rPr>
          <w:sz w:val="26"/>
          <w:szCs w:val="26"/>
        </w:rPr>
        <w:t>, Truy cập ngày 20 tháng 01 năm 2019</w:t>
      </w:r>
    </w:p>
    <w:p w:rsidR="00307F54" w:rsidRDefault="00307F54" w:rsidP="00307F54">
      <w:pPr>
        <w:numPr>
          <w:ilvl w:val="0"/>
          <w:numId w:val="1"/>
        </w:numPr>
        <w:spacing w:before="120" w:after="120" w:line="312" w:lineRule="auto"/>
        <w:ind w:left="567" w:firstLine="0"/>
        <w:jc w:val="both"/>
        <w:rPr>
          <w:sz w:val="26"/>
          <w:szCs w:val="26"/>
        </w:rPr>
      </w:pPr>
      <w:r>
        <w:rPr>
          <w:sz w:val="26"/>
          <w:szCs w:val="26"/>
          <w:shd w:val="clear" w:color="auto" w:fill="FFFFFF"/>
        </w:rPr>
        <w:t>Wielechowski, M. and Roman, M., 2012. The essence of fair trade and its importance in the world economy. </w:t>
      </w:r>
      <w:r>
        <w:rPr>
          <w:i/>
          <w:iCs/>
          <w:sz w:val="26"/>
          <w:szCs w:val="26"/>
          <w:shd w:val="clear" w:color="auto" w:fill="FFFFFF"/>
        </w:rPr>
        <w:t>Acta Scientiarum Polonorum. Oecnomia</w:t>
      </w:r>
      <w:r>
        <w:rPr>
          <w:sz w:val="26"/>
          <w:szCs w:val="26"/>
          <w:shd w:val="clear" w:color="auto" w:fill="FFFFFF"/>
        </w:rPr>
        <w:t>, </w:t>
      </w:r>
      <w:r>
        <w:rPr>
          <w:i/>
          <w:iCs/>
          <w:sz w:val="26"/>
          <w:szCs w:val="26"/>
          <w:shd w:val="clear" w:color="auto" w:fill="FFFFFF"/>
        </w:rPr>
        <w:t>11</w:t>
      </w:r>
      <w:r>
        <w:rPr>
          <w:sz w:val="26"/>
          <w:szCs w:val="26"/>
          <w:shd w:val="clear" w:color="auto" w:fill="FFFFFF"/>
        </w:rPr>
        <w:t>(4).</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63AA0"/>
    <w:multiLevelType w:val="multilevel"/>
    <w:tmpl w:val="74163AA0"/>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54"/>
    <w:rsid w:val="000358AD"/>
    <w:rsid w:val="00052F55"/>
    <w:rsid w:val="000A6502"/>
    <w:rsid w:val="000E40BB"/>
    <w:rsid w:val="001921E0"/>
    <w:rsid w:val="001E3569"/>
    <w:rsid w:val="00204DF2"/>
    <w:rsid w:val="00204FB3"/>
    <w:rsid w:val="00230086"/>
    <w:rsid w:val="00234AF3"/>
    <w:rsid w:val="00235E22"/>
    <w:rsid w:val="00302C11"/>
    <w:rsid w:val="00307F54"/>
    <w:rsid w:val="00320B35"/>
    <w:rsid w:val="00331C8D"/>
    <w:rsid w:val="00354FD3"/>
    <w:rsid w:val="0047116B"/>
    <w:rsid w:val="006C40B0"/>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C633"/>
  <w15:chartTrackingRefBased/>
  <w15:docId w15:val="{5CC3035A-8E87-45C7-955C-25F2C57F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54"/>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307F54"/>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07F54"/>
    <w:rPr>
      <w:rFonts w:ascii="Times New Roman" w:eastAsia="Times New Roman" w:hAnsi="Times New Roman" w:cs="Arial"/>
      <w:b/>
      <w:kern w:val="28"/>
      <w:sz w:val="26"/>
      <w:szCs w:val="32"/>
    </w:rPr>
  </w:style>
  <w:style w:type="character" w:styleId="Hyperlink">
    <w:name w:val="Hyperlink"/>
    <w:uiPriority w:val="99"/>
    <w:rsid w:val="00307F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fto.com/about-us/history-wfto/history-fair-trade" TargetMode="External"/><Relationship Id="rId5" Type="http://schemas.openxmlformats.org/officeDocument/2006/relationships/hyperlink" Target="https://www.ifsw.org/vi/ifsw-policy-for-socially-just-fair-and-sustainable-world-trade-agreements/?hub=m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2025-12-27T10:18:00Z</dcterms:created>
  <dcterms:modified xsi:type="dcterms:W3CDTF">2025-12-27T10:19:00Z</dcterms:modified>
</cp:coreProperties>
</file>